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/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Resilience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Sleep Hygiene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Nutrition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Exercise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Outdoors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Fun/Humour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Connection to Others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Downtime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Gratitude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Presencing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Wins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Limit Technology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 to Your Why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Challenge Yourself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Your Strengths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How do you invest in your resilience?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How satisfied are you in each of the above areas?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What would you like to do more of to boost your resilience?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How will you do that?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-209548</wp:posOffset>
          </wp:positionV>
          <wp:extent cx="1707152" cy="728663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1E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Develop Strengths</w:t>
    </w:r>
  </w:p>
  <w:p w:rsidR="00000000" w:rsidDel="00000000" w:rsidP="00000000" w:rsidRDefault="00000000" w:rsidRPr="00000000" w14:paraId="0000001F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ujMD7UWaRYFHT0A1XQExUxGDQQ==">AMUW2mUiBZ/rcgddXY0ORdry89jUzCslYx0K3M9gtC0CZdMglnLstI3xGTwnhA440EZREcvqVPDV62nl7LeYPFTM7KhwHQ0Zb2cZc9z/C27rO5aYQI75rlXqbWd/p1bjWn3YXeEIofaE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